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窗体顶端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720"/>
        <w:jc w:val="center"/>
        <w:rPr>
          <w:b/>
          <w:bCs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恩施职业技术学院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720"/>
        <w:jc w:val="center"/>
        <w:rPr>
          <w:b/>
          <w:bCs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汽车检测与维修技术专业单独招生考试大纲（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/>
        </w:rPr>
        <w:t>2023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）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</w:rPr>
        <w:t>一、</w:t>
      </w:r>
      <w:r>
        <w:rPr>
          <w:rStyle w:val="8"/>
        </w:rPr>
        <w:t xml:space="preserve"> </w:t>
      </w:r>
      <w:r>
        <w:rPr>
          <w:rStyle w:val="8"/>
          <w:rFonts w:hint="eastAsia" w:ascii="仿宋" w:hAnsi="仿宋" w:eastAsia="仿宋" w:cs="仿宋"/>
          <w:color w:val="000000"/>
          <w:sz w:val="28"/>
          <w:szCs w:val="28"/>
        </w:rPr>
        <w:t>考试性质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符合湖北省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2023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年普通高考报名条件的高中阶段学校（含中专、职业高中、技工学校等）应往届毕业生参加的汽车检测与维修专业的选拔性考试。职业技能测试包含专业知识和专业技能，具有一定的信度、效度和必要的区分度。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</w:rPr>
        <w:t>二、</w:t>
      </w:r>
      <w:r>
        <w:rPr>
          <w:rStyle w:val="8"/>
        </w:rPr>
        <w:t xml:space="preserve"> </w:t>
      </w:r>
      <w:r>
        <w:rPr>
          <w:rStyle w:val="8"/>
          <w:rFonts w:hint="eastAsia" w:ascii="仿宋" w:hAnsi="仿宋" w:eastAsia="仿宋" w:cs="仿宋"/>
          <w:color w:val="000000"/>
          <w:sz w:val="28"/>
          <w:szCs w:val="28"/>
        </w:rPr>
        <w:t>考试目标与要求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</w:rPr>
        <w:t>（一）</w:t>
      </w:r>
      <w:r>
        <w:rPr>
          <w:rStyle w:val="8"/>
        </w:rPr>
        <w:t xml:space="preserve"> </w:t>
      </w:r>
      <w:r>
        <w:rPr>
          <w:rStyle w:val="8"/>
          <w:rFonts w:hint="eastAsia" w:ascii="仿宋" w:hAnsi="仿宋" w:eastAsia="仿宋" w:cs="仿宋"/>
          <w:color w:val="000000"/>
          <w:sz w:val="28"/>
          <w:szCs w:val="28"/>
        </w:rPr>
        <w:t>考试目标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主要测试学生理解和运用汽车检修的基本知识及专业技能，具有汽车维护保养、解决故障维修任务中简单问题的能力。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</w:rPr>
        <w:t>（二）</w:t>
      </w:r>
      <w:r>
        <w:rPr>
          <w:rStyle w:val="8"/>
        </w:rPr>
        <w:t xml:space="preserve"> </w:t>
      </w:r>
      <w:r>
        <w:rPr>
          <w:rStyle w:val="8"/>
          <w:rFonts w:hint="eastAsia" w:ascii="仿宋" w:hAnsi="仿宋" w:eastAsia="仿宋" w:cs="仿宋"/>
          <w:color w:val="000000"/>
          <w:sz w:val="28"/>
          <w:szCs w:val="28"/>
        </w:rPr>
        <w:t>能力要求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汽车运用与维修专业单招考试选择国家职业标准《汽车维修工国家职业技能标准》，考查学生对专业基本知识、基本技能运用的熟练程度，要求考生在规定时间内独立完成职业技能测试内容。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</w:rPr>
        <w:t>三、</w:t>
      </w:r>
      <w:r>
        <w:rPr>
          <w:rStyle w:val="8"/>
        </w:rPr>
        <w:t xml:space="preserve"> </w:t>
      </w:r>
      <w:r>
        <w:rPr>
          <w:rStyle w:val="8"/>
          <w:rFonts w:hint="eastAsia" w:ascii="仿宋" w:hAnsi="仿宋" w:eastAsia="仿宋" w:cs="仿宋"/>
          <w:color w:val="000000"/>
          <w:sz w:val="28"/>
          <w:szCs w:val="28"/>
        </w:rPr>
        <w:t>考试依据与范围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</w:rPr>
        <w:t>（一）</w:t>
      </w:r>
      <w:r>
        <w:rPr>
          <w:rStyle w:val="8"/>
        </w:rPr>
        <w:t xml:space="preserve"> </w:t>
      </w:r>
      <w:r>
        <w:rPr>
          <w:rStyle w:val="8"/>
          <w:rFonts w:hint="eastAsia" w:ascii="仿宋" w:hAnsi="仿宋" w:eastAsia="仿宋" w:cs="仿宋"/>
          <w:color w:val="000000"/>
          <w:sz w:val="28"/>
          <w:szCs w:val="28"/>
        </w:rPr>
        <w:t>考试依据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、参照中华人民共和国教育部职业教育与成人教育司颁布的《中等职业学校专业教学标准（试行）》，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2017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 8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 26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日发布； 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参照《国家职业技能标准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(2019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年修订）》（职业编码：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4-12-01-01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）的《汽车维修工》初、中级职业技能标准。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、参照中等职业学校汽车运用与维修专业教学标准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(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专业代码：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700206)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中等职业学校汽车电子技术应用专业教学标准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(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专业代码：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660703)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4.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参照《湖北省职业教育汽车运用与维修专业中高职衔接教学标准（试行）》，湖北省教育厅，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2016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 12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 27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日。</w:t>
      </w:r>
    </w:p>
    <w:p>
      <w:pPr>
        <w:pStyle w:val="5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5.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参照《中华人民共和国标准化法》最新颁布施行的汽车维修质量检验技术国家 标准与行业标准。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参照《汽车维护、检测、诊断技术规范》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GB/T 18344-2016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Style w:val="8"/>
          <w:rFonts w:hint="eastAsia" w:ascii="仿宋" w:hAnsi="仿宋" w:eastAsia="仿宋" w:cs="仿宋"/>
          <w:i w:val="0"/>
          <w:iCs w:val="0"/>
          <w:color w:val="000000"/>
          <w:sz w:val="28"/>
          <w:szCs w:val="28"/>
        </w:rPr>
        <w:t>（二）</w:t>
      </w:r>
      <w:r>
        <w:rPr>
          <w:rStyle w:val="8"/>
          <w:rFonts w:hint="default" w:ascii="Times New Roman" w:hAnsi="Times New Roman" w:cs="Times New Roman"/>
          <w:i w:val="0"/>
          <w:iCs w:val="0"/>
          <w:color w:val="000000"/>
          <w:sz w:val="21"/>
          <w:szCs w:val="21"/>
        </w:rPr>
        <w:t xml:space="preserve"> </w:t>
      </w:r>
      <w:r>
        <w:rPr>
          <w:rStyle w:val="8"/>
          <w:rFonts w:hint="eastAsia" w:ascii="仿宋" w:hAnsi="仿宋" w:eastAsia="仿宋" w:cs="仿宋"/>
          <w:i w:val="0"/>
          <w:iCs w:val="0"/>
          <w:color w:val="000000"/>
          <w:sz w:val="28"/>
          <w:szCs w:val="28"/>
        </w:rPr>
        <w:t>考试范围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以国家《汽车维修工国家职业技能标准》为依据，以现有的中等职业学校国家规划教材为主要参考教材，主要有《汽车识图》、《汽车机械基础》、《汽车电工电子基础》、《汽车发动机构造》、《汽车电器》、《汽车底盘构造》等课程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Style w:val="8"/>
          <w:rFonts w:hint="eastAsia" w:ascii="仿宋" w:hAnsi="仿宋" w:eastAsia="仿宋" w:cs="仿宋"/>
          <w:i w:val="0"/>
          <w:iCs w:val="0"/>
          <w:color w:val="000000"/>
          <w:sz w:val="28"/>
          <w:szCs w:val="28"/>
        </w:rPr>
        <w:t>四、考试办法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职业技能测试总分为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 xml:space="preserve"> 200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分（包含专业知识和专业技能）。考试时间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 xml:space="preserve"> 120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分钟。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Style w:val="8"/>
          <w:rFonts w:hint="eastAsia" w:ascii="仿宋" w:hAnsi="仿宋" w:eastAsia="仿宋" w:cs="仿宋"/>
          <w:i w:val="0"/>
          <w:iCs w:val="0"/>
          <w:color w:val="000000"/>
          <w:sz w:val="28"/>
          <w:szCs w:val="28"/>
        </w:rPr>
        <w:t>五、考试内容与评分办法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720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以形成的中职毕业生从业能力为立足点，实现技能考试内容与中职毕业生从业技能的需要相互兼容，在识记、理解、运用、综合运用各个层面，充分融合专业知识和技能操作的职业技能要素，合理运用专业知识考试、技能操作测量手段，将专业知识融入技能操作考试内容，将技能操作融入专业知识考试内容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（一）模块内容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 xml:space="preserve">模块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--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汽车识图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）熟悉图幅、比例、字体、图线、尺寸标注的基本规定。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）识读螺纹标注以及螺纹紧固件及连接、键联结、销连接和标注。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）识读圆柱齿轮、滚动轴承、键标注方法及相关规定。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）掌握公差配合的基础知识及标注方法。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 xml:space="preserve">模块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--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汽车机械基础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 xml:space="preserve">）了解汽车常用金属材料的种类。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）熟悉液压传动的基本知识。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）熟悉液压传动在汽车上的应用。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）了解四杆机构的基本类型、汽车上的应用。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）掌握凸轮机构的组成，汽车上的应用。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）认识轴承的类型、结构与应用。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）掌握常用螺纹连接应用，螺纹防松。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 xml:space="preserve">模块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--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汽车电工电子基础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）了解电压、电动势、电流的定义及其关系。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）熟悉电阻的串联和并联，欧姆定律。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）熟悉直流电路电阻、电压、电流的简单计算方法。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）认识二极管的类型及特性。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）了解二极管的整流作用。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）了解三极管的各种形式，三极管的三种工作状态。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）掌握电路基本元件的名称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 xml:space="preserve">模块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--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汽车发动机构造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）熟悉汽车的总体构造。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）熟悉发动机的总体构造。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）掌握发动机的工作过程。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）掌握曲柄连杆机构的功用和组成。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）掌握配气机构的功用和组成。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）熟悉燃料供给系的功用和组成。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）熟悉冷却系的功用和组成。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）熟悉润滑系的功用和组成。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5.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 xml:space="preserve">模块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--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汽车电器构造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）掌握蓄电池的基本知识。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）认识交流发电机与调节器的作用与组成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）熟悉起动机的作用与组成。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）了解灯光信号、仪表报警装置相关知识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）了解汽油机点火系统的作用与组成。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）掌握汽车电器辅助装置的作用及认识。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6.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 xml:space="preserve">模块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--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汽车底盘构造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）熟悉传动系的作用和组成。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）熟悉行驶系的作用和组成。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）掌握转向系的作用和组成。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）掌握制动系的作用和组成。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）了解车身的结构与作用。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7.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 xml:space="preserve">模块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--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汽车维修质量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）了解汽车维修作业安全操作规程。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）了解质量管理的法规与方法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（二）</w:t>
      </w:r>
      <w:r>
        <w:rPr>
          <w:rStyle w:val="8"/>
          <w:rFonts w:hint="eastAsia" w:ascii="仿宋" w:hAnsi="仿宋" w:eastAsia="仿宋" w:cs="仿宋"/>
          <w:i w:val="0"/>
          <w:iCs w:val="0"/>
          <w:color w:val="000000"/>
          <w:sz w:val="28"/>
          <w:szCs w:val="28"/>
        </w:rPr>
        <w:t>试卷结构、答题要求及评分办法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职业技能测试总分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 xml:space="preserve">200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分，共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90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小题，分四个题型：单项选择题 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80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分），判断题（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60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分）、填空题（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30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分）、简答题（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30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分）。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  <w:jc w:val="both"/>
      </w:pP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  <w:jc w:val="both"/>
      </w:pP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  <w:jc w:val="both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答题时，用蓝黑钢笔、签字笔或圆珠笔将答案填写在答题纸对应题号处；单选题答案用大写字母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lang w:val="en-US"/>
        </w:rPr>
        <w:t>A/B/C/D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填写，不选多选不给分；判断题用‘</w:t>
      </w: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z w:val="24"/>
          <w:szCs w:val="24"/>
        </w:rPr>
        <w:t>√’‘×’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</w:rPr>
        <w:t>表示对错，用其他符号作答不给分；填空题答案从给定的词条库中选取进行填写，词库外答案不给分；未做特别说明的，在填写数据时，按题目中出现的数值的小数位数进行填写。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49336" w:leftChars="0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Style w:val="8"/>
          <w:rFonts w:hint="eastAsia" w:ascii="仿宋" w:hAnsi="仿宋" w:eastAsia="仿宋" w:cs="仿宋"/>
          <w:i w:val="0"/>
          <w:iCs w:val="0"/>
          <w:color w:val="000000"/>
          <w:sz w:val="28"/>
          <w:szCs w:val="28"/>
        </w:rPr>
        <w:t>六、</w:t>
      </w:r>
      <w:r>
        <w:rPr>
          <w:rStyle w:val="8"/>
          <w:rFonts w:hint="default" w:ascii="Times New Roman" w:hAnsi="Times New Roman" w:cs="Times New Roman"/>
          <w:i w:val="0"/>
          <w:iCs w:val="0"/>
          <w:color w:val="000000"/>
          <w:sz w:val="21"/>
          <w:szCs w:val="21"/>
        </w:rPr>
        <w:t xml:space="preserve"> </w:t>
      </w:r>
      <w:r>
        <w:rPr>
          <w:rStyle w:val="8"/>
          <w:rFonts w:hint="eastAsia" w:ascii="仿宋" w:hAnsi="仿宋" w:eastAsia="仿宋" w:cs="仿宋"/>
          <w:i w:val="0"/>
          <w:iCs w:val="0"/>
          <w:color w:val="000000"/>
          <w:sz w:val="28"/>
          <w:szCs w:val="28"/>
        </w:rPr>
        <w:t>题型示例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9696" w:hanging="360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9696" w:hanging="360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9696" w:hanging="360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9696" w:hanging="360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9696" w:hanging="360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> </w:t>
      </w:r>
    </w:p>
    <w:p>
      <w:pPr>
        <w:pStyle w:val="5"/>
        <w:keepNext w:val="0"/>
        <w:keepLines w:val="0"/>
        <w:widowControl/>
        <w:suppressLineNumbers w:val="0"/>
        <w:jc w:val="left"/>
      </w:pPr>
      <w:r>
        <w:t> </w:t>
      </w:r>
    </w:p>
    <w:p>
      <w:pPr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sz w:val="36"/>
          <w:szCs w:val="36"/>
          <w:lang w:val="en-US"/>
        </w:rPr>
        <w:br w:type="page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85" w:afterAutospacing="0"/>
        <w:ind w:left="15" w:right="120"/>
        <w:jc w:val="center"/>
      </w:pPr>
      <w:r>
        <w:rPr>
          <w:rFonts w:hint="eastAsia" w:ascii="仿宋" w:hAnsi="仿宋" w:eastAsia="仿宋" w:cs="仿宋"/>
          <w:sz w:val="36"/>
          <w:szCs w:val="36"/>
          <w:lang w:val="en-US"/>
        </w:rPr>
        <w:t>2023</w:t>
      </w:r>
      <w:r>
        <w:rPr>
          <w:rFonts w:hint="eastAsia" w:ascii="仿宋" w:hAnsi="仿宋" w:eastAsia="仿宋" w:cs="仿宋"/>
          <w:sz w:val="36"/>
          <w:szCs w:val="36"/>
        </w:rPr>
        <w:t>年恩施职业技术学院</w:t>
      </w:r>
      <w:bookmarkStart w:id="0" w:name="_GoBack"/>
      <w:r>
        <w:rPr>
          <w:rFonts w:hint="eastAsia" w:ascii="仿宋" w:hAnsi="仿宋" w:eastAsia="仿宋" w:cs="仿宋"/>
          <w:sz w:val="36"/>
          <w:szCs w:val="36"/>
        </w:rPr>
        <w:t>汽车检测与维修技术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285" w:afterAutospacing="0"/>
        <w:ind w:left="15" w:right="120"/>
        <w:jc w:val="center"/>
      </w:pPr>
      <w:r>
        <w:rPr>
          <w:rFonts w:hint="eastAsia" w:ascii="仿宋" w:hAnsi="仿宋" w:eastAsia="仿宋" w:cs="仿宋"/>
          <w:sz w:val="36"/>
          <w:szCs w:val="36"/>
        </w:rPr>
        <w:t>职业技能测试样卷及题型示例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855"/>
        <w:gridCol w:w="855"/>
        <w:gridCol w:w="855"/>
        <w:gridCol w:w="855"/>
        <w:gridCol w:w="855"/>
        <w:gridCol w:w="85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题</w:t>
            </w:r>
            <w:r>
              <w:rPr>
                <w:sz w:val="21"/>
                <w:szCs w:val="21"/>
                <w:bdr w:val="none" w:color="auto" w:sz="0" w:space="0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号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一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二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三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四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五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六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满</w:t>
            </w:r>
            <w:r>
              <w:rPr>
                <w:sz w:val="21"/>
                <w:szCs w:val="21"/>
                <w:bdr w:val="none" w:color="auto" w:sz="0" w:space="0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  <w:t>80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  <w:t>60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实得分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阅卷人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pacing w:line="525" w:lineRule="atLeast"/>
        <w:ind w:left="0" w:firstLine="555"/>
      </w:pPr>
      <w:r>
        <w:t>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375" w:right="0"/>
      </w:pPr>
      <w:r>
        <w:rPr>
          <w:rFonts w:hint="eastAsia" w:ascii="黑体" w:hAnsi="宋体" w:eastAsia="黑体" w:cs="黑体"/>
        </w:rPr>
        <w:t>注意事项：</w:t>
      </w:r>
    </w:p>
    <w:p>
      <w:pPr>
        <w:pStyle w:val="5"/>
        <w:keepNext w:val="0"/>
        <w:keepLines w:val="0"/>
        <w:widowControl/>
        <w:suppressLineNumbers w:val="0"/>
        <w:spacing w:line="276" w:lineRule="auto"/>
        <w:jc w:val="left"/>
      </w:pPr>
      <w:r>
        <w:rPr>
          <w:rFonts w:hint="eastAsia" w:ascii="黑体" w:hAnsi="宋体" w:eastAsia="黑体" w:cs="黑体"/>
          <w:lang w:val="en-US"/>
        </w:rPr>
        <w:t>1</w:t>
      </w:r>
      <w:r>
        <w:rPr>
          <w:rFonts w:hint="eastAsia" w:ascii="黑体" w:hAnsi="宋体" w:eastAsia="黑体" w:cs="黑体"/>
        </w:rPr>
        <w:t>、本试卷共四大题，共</w:t>
      </w:r>
      <w:r>
        <w:rPr>
          <w:rFonts w:hint="eastAsia" w:ascii="黑体" w:hAnsi="宋体" w:eastAsia="黑体" w:cs="黑体"/>
          <w:lang w:val="en-US"/>
        </w:rPr>
        <w:t>90</w:t>
      </w:r>
      <w:r>
        <w:rPr>
          <w:rFonts w:hint="eastAsia" w:ascii="黑体" w:hAnsi="宋体" w:eastAsia="黑体" w:cs="黑体"/>
        </w:rPr>
        <w:t>题，满分</w:t>
      </w:r>
      <w:r>
        <w:rPr>
          <w:rFonts w:hint="eastAsia" w:ascii="黑体" w:hAnsi="宋体" w:eastAsia="黑体" w:cs="黑体"/>
          <w:lang w:val="en-US"/>
        </w:rPr>
        <w:t>200</w:t>
      </w:r>
      <w:r>
        <w:rPr>
          <w:rFonts w:hint="eastAsia" w:ascii="黑体" w:hAnsi="宋体" w:eastAsia="黑体" w:cs="黑体"/>
        </w:rPr>
        <w:t>分。考试时间</w:t>
      </w:r>
      <w:r>
        <w:rPr>
          <w:rFonts w:hint="eastAsia" w:ascii="黑体" w:hAnsi="宋体" w:eastAsia="黑体" w:cs="黑体"/>
          <w:lang w:val="en-US"/>
        </w:rPr>
        <w:t>120</w:t>
      </w:r>
      <w:r>
        <w:rPr>
          <w:rFonts w:hint="eastAsia" w:ascii="黑体" w:hAnsi="宋体" w:eastAsia="黑体" w:cs="黑体"/>
        </w:rPr>
        <w:t>分钟。</w:t>
      </w:r>
    </w:p>
    <w:p>
      <w:pPr>
        <w:pStyle w:val="5"/>
        <w:keepNext w:val="0"/>
        <w:keepLines w:val="0"/>
        <w:widowControl/>
        <w:suppressLineNumbers w:val="0"/>
        <w:spacing w:line="276" w:lineRule="auto"/>
        <w:jc w:val="left"/>
      </w:pPr>
      <w:r>
        <w:rPr>
          <w:rFonts w:hint="eastAsia" w:ascii="黑体" w:hAnsi="宋体" w:eastAsia="黑体" w:cs="黑体"/>
          <w:lang w:val="en-US"/>
        </w:rPr>
        <w:t>2</w:t>
      </w:r>
      <w:r>
        <w:rPr>
          <w:rFonts w:hint="eastAsia" w:ascii="黑体" w:hAnsi="宋体" w:eastAsia="黑体" w:cs="黑体"/>
        </w:rPr>
        <w:t>、答案一律用蓝黑钢笔、签字笔或圆珠笔填写在答题卡中。</w:t>
      </w:r>
    </w:p>
    <w:p>
      <w:pPr>
        <w:pStyle w:val="5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黑体" w:hAnsi="宋体" w:eastAsia="黑体" w:cs="黑体"/>
          <w:color w:val="000000"/>
          <w:sz w:val="24"/>
          <w:szCs w:val="24"/>
        </w:rPr>
        <w:t>一、单项选择题（第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题～第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40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题，选择一个正确的答案，将相应选项前的字母填入答题卡中，每题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分，满分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80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分）</w:t>
      </w:r>
    </w:p>
    <w:p>
      <w:pPr>
        <w:pStyle w:val="5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、国家标准规定，机械制图长度单位是（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）。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A.m B.cm C.mm D.nm</w:t>
      </w:r>
    </w:p>
    <w:p>
      <w:pPr>
        <w:pStyle w:val="5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铅蓄电池放电时，端电压逐渐（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）。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A.</w:t>
      </w:r>
      <w:r>
        <w:rPr>
          <w:rFonts w:hint="eastAsia" w:ascii="宋体" w:hAnsi="宋体" w:eastAsia="宋体" w:cs="宋体"/>
          <w:sz w:val="24"/>
          <w:szCs w:val="24"/>
        </w:rPr>
        <w:t>上升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B.</w:t>
      </w:r>
      <w:r>
        <w:rPr>
          <w:rFonts w:hint="eastAsia" w:ascii="宋体" w:hAnsi="宋体" w:eastAsia="宋体" w:cs="宋体"/>
          <w:sz w:val="24"/>
          <w:szCs w:val="24"/>
        </w:rPr>
        <w:t>平衡状态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C.</w:t>
      </w:r>
      <w:r>
        <w:rPr>
          <w:rFonts w:hint="eastAsia" w:ascii="宋体" w:hAnsi="宋体" w:eastAsia="宋体" w:cs="宋体"/>
          <w:sz w:val="24"/>
          <w:szCs w:val="24"/>
        </w:rPr>
        <w:t>下降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D.</w:t>
      </w:r>
      <w:r>
        <w:rPr>
          <w:rFonts w:hint="eastAsia" w:ascii="宋体" w:hAnsi="宋体" w:eastAsia="宋体" w:cs="宋体"/>
          <w:sz w:val="24"/>
          <w:szCs w:val="24"/>
        </w:rPr>
        <w:t>不变</w:t>
      </w:r>
    </w:p>
    <w:p>
      <w:pPr>
        <w:pStyle w:val="5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黑体" w:hAnsi="宋体" w:eastAsia="黑体" w:cs="黑体"/>
          <w:color w:val="000000"/>
          <w:sz w:val="24"/>
          <w:szCs w:val="24"/>
        </w:rPr>
        <w:t>二、判断题（第</w:t>
      </w:r>
      <w:r>
        <w:rPr>
          <w:rFonts w:hint="eastAsia" w:ascii="黑体" w:hAnsi="宋体" w:eastAsia="黑体" w:cs="黑体"/>
          <w:color w:val="000000"/>
          <w:sz w:val="24"/>
          <w:szCs w:val="24"/>
          <w:lang w:val="en-US"/>
        </w:rPr>
        <w:t>41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题～第</w:t>
      </w:r>
      <w:r>
        <w:rPr>
          <w:rFonts w:hint="eastAsia" w:ascii="黑体" w:hAnsi="宋体" w:eastAsia="黑体" w:cs="黑体"/>
          <w:color w:val="000000"/>
          <w:sz w:val="24"/>
          <w:szCs w:val="24"/>
          <w:lang w:val="en-US"/>
        </w:rPr>
        <w:t>70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题，请将判断结果填入答题卡中。正确的填“√”，错误的填“×”，每题</w:t>
      </w:r>
      <w:r>
        <w:rPr>
          <w:rFonts w:hint="eastAsia" w:ascii="黑体" w:hAnsi="宋体" w:eastAsia="黑体" w:cs="黑体"/>
          <w:color w:val="000000"/>
          <w:sz w:val="24"/>
          <w:szCs w:val="24"/>
          <w:lang w:val="en-US"/>
        </w:rPr>
        <w:t>2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分，满分</w:t>
      </w:r>
      <w:r>
        <w:rPr>
          <w:rFonts w:hint="eastAsia" w:ascii="黑体" w:hAnsi="宋体" w:eastAsia="黑体" w:cs="黑体"/>
          <w:color w:val="000000"/>
          <w:sz w:val="24"/>
          <w:szCs w:val="24"/>
          <w:lang w:val="en-US"/>
        </w:rPr>
        <w:t>60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分）</w:t>
      </w:r>
    </w:p>
    <w:p>
      <w:pPr>
        <w:pStyle w:val="5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41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、为了看图方便，建议尽可能按原值比例画图。（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</w:p>
    <w:p>
      <w:pPr>
        <w:pStyle w:val="5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42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、混合气浓度越浓，发动机产生的功率就越大。（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</w:p>
    <w:p>
      <w:pPr>
        <w:pStyle w:val="5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黑体" w:hAnsi="宋体" w:eastAsia="黑体" w:cs="黑体"/>
          <w:sz w:val="24"/>
          <w:szCs w:val="24"/>
        </w:rPr>
        <w:t>三、填空题（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第</w:t>
      </w:r>
      <w:r>
        <w:rPr>
          <w:rFonts w:hint="eastAsia" w:ascii="黑体" w:hAnsi="宋体" w:eastAsia="黑体" w:cs="黑体"/>
          <w:color w:val="000000"/>
          <w:sz w:val="24"/>
          <w:szCs w:val="24"/>
          <w:lang w:val="en-US"/>
        </w:rPr>
        <w:t>71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题～第</w:t>
      </w:r>
      <w:r>
        <w:rPr>
          <w:rFonts w:hint="eastAsia" w:ascii="黑体" w:hAnsi="宋体" w:eastAsia="黑体" w:cs="黑体"/>
          <w:color w:val="000000"/>
          <w:sz w:val="24"/>
          <w:szCs w:val="24"/>
          <w:lang w:val="en-US"/>
        </w:rPr>
        <w:t>80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题，</w:t>
      </w:r>
      <w:r>
        <w:rPr>
          <w:rFonts w:hint="eastAsia" w:ascii="黑体" w:hAnsi="宋体" w:eastAsia="黑体" w:cs="黑体"/>
          <w:sz w:val="24"/>
          <w:szCs w:val="24"/>
        </w:rPr>
        <w:t>从词库中选择一个词语 ，填写在表格空白处，每空</w:t>
      </w:r>
      <w:r>
        <w:rPr>
          <w:rFonts w:hint="eastAsia" w:ascii="黑体" w:hAnsi="宋体" w:eastAsia="黑体" w:cs="黑体"/>
          <w:sz w:val="24"/>
          <w:szCs w:val="24"/>
          <w:lang w:val="en-US"/>
        </w:rPr>
        <w:t>3</w:t>
      </w:r>
      <w:r>
        <w:rPr>
          <w:rFonts w:hint="eastAsia" w:ascii="黑体" w:hAnsi="宋体" w:eastAsia="黑体" w:cs="黑体"/>
          <w:sz w:val="24"/>
          <w:szCs w:val="24"/>
        </w:rPr>
        <w:t>分，共</w:t>
      </w:r>
      <w:r>
        <w:rPr>
          <w:rFonts w:hint="eastAsia" w:ascii="黑体" w:hAnsi="宋体" w:eastAsia="黑体" w:cs="黑体"/>
          <w:sz w:val="24"/>
          <w:szCs w:val="24"/>
          <w:lang w:val="en-US"/>
        </w:rPr>
        <w:t>30</w:t>
      </w:r>
      <w:r>
        <w:rPr>
          <w:rFonts w:hint="eastAsia" w:ascii="黑体" w:hAnsi="宋体" w:eastAsia="黑体" w:cs="黑体"/>
          <w:sz w:val="24"/>
          <w:szCs w:val="24"/>
        </w:rPr>
        <w:t>分）</w:t>
      </w:r>
    </w:p>
    <w:p>
      <w:pPr>
        <w:pStyle w:val="5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黑体" w:hAnsi="宋体" w:eastAsia="黑体" w:cs="黑体"/>
          <w:sz w:val="24"/>
          <w:szCs w:val="24"/>
          <w:lang w:val="en-US"/>
        </w:rPr>
        <w:t>71</w:t>
      </w:r>
      <w:r>
        <w:rPr>
          <w:rFonts w:hint="eastAsia" w:ascii="黑体" w:hAnsi="宋体" w:eastAsia="黑体" w:cs="黑体"/>
          <w:sz w:val="24"/>
          <w:szCs w:val="24"/>
        </w:rPr>
        <w:t>、</w:t>
      </w:r>
      <w:r>
        <w:rPr>
          <w:rFonts w:hint="eastAsia" w:ascii="黑体" w:hAnsi="宋体" w:eastAsia="黑体" w:cs="黑体"/>
          <w:sz w:val="24"/>
          <w:szCs w:val="24"/>
          <w:lang w:val="en-US"/>
        </w:rPr>
        <w:drawing>
          <wp:inline distT="0" distB="0" distL="114300" distR="114300">
            <wp:extent cx="1323975" cy="638175"/>
            <wp:effectExtent l="0" t="0" r="9525" b="952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宋体" w:eastAsia="黑体" w:cs="黑体"/>
          <w:sz w:val="24"/>
          <w:szCs w:val="24"/>
          <w:lang w:val="en-US"/>
        </w:rPr>
        <w:t xml:space="preserve"> 72</w:t>
      </w:r>
      <w:r>
        <w:rPr>
          <w:rFonts w:hint="eastAsia" w:ascii="黑体" w:hAnsi="宋体" w:eastAsia="黑体" w:cs="黑体"/>
          <w:sz w:val="24"/>
          <w:szCs w:val="24"/>
        </w:rPr>
        <w:t>、</w:t>
      </w:r>
      <w:r>
        <w:rPr>
          <w:rFonts w:hint="eastAsia" w:ascii="黑体" w:hAnsi="宋体" w:eastAsia="黑体" w:cs="黑体"/>
          <w:sz w:val="24"/>
          <w:szCs w:val="24"/>
          <w:lang w:val="en-US"/>
        </w:rPr>
        <w:drawing>
          <wp:inline distT="0" distB="0" distL="114300" distR="114300">
            <wp:extent cx="1076325" cy="552450"/>
            <wp:effectExtent l="0" t="0" r="9525" b="0"/>
            <wp:docPr id="2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宋体" w:eastAsia="黑体" w:cs="黑体"/>
          <w:sz w:val="24"/>
          <w:szCs w:val="24"/>
          <w:lang w:val="en-US"/>
        </w:rPr>
        <w:t xml:space="preserve"> 73</w:t>
      </w:r>
      <w:r>
        <w:rPr>
          <w:rFonts w:hint="eastAsia" w:ascii="黑体" w:hAnsi="宋体" w:eastAsia="黑体" w:cs="黑体"/>
          <w:sz w:val="24"/>
          <w:szCs w:val="24"/>
        </w:rPr>
        <w:t>、</w:t>
      </w:r>
      <w:r>
        <w:rPr>
          <w:rFonts w:hint="eastAsia" w:ascii="黑体" w:hAnsi="宋体" w:eastAsia="黑体" w:cs="黑体"/>
          <w:sz w:val="24"/>
          <w:szCs w:val="24"/>
          <w:lang w:val="en-US"/>
        </w:rPr>
        <w:drawing>
          <wp:inline distT="0" distB="0" distL="114300" distR="114300">
            <wp:extent cx="1133475" cy="638175"/>
            <wp:effectExtent l="0" t="0" r="9525" b="9525"/>
            <wp:docPr id="3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4606"/>
        <w:gridCol w:w="2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题号</w:t>
            </w:r>
          </w:p>
        </w:tc>
        <w:tc>
          <w:tcPr>
            <w:tcW w:w="4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问题</w:t>
            </w:r>
          </w:p>
        </w:tc>
        <w:tc>
          <w:tcPr>
            <w:tcW w:w="2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答案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71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该图工具（量具）名称是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72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该图工具（量具）名称是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黑体" w:hAnsi="宋体" w:eastAsia="黑体" w:cs="黑体"/>
          <w:sz w:val="24"/>
          <w:szCs w:val="24"/>
        </w:rPr>
        <w:t>词库</w:t>
      </w:r>
      <w:r>
        <w:rPr>
          <w:rFonts w:hint="eastAsia" w:ascii="黑体" w:hAnsi="宋体" w:eastAsia="黑体" w:cs="黑体"/>
          <w:sz w:val="24"/>
          <w:szCs w:val="24"/>
          <w:lang w:val="en-US"/>
        </w:rPr>
        <w:t>:</w:t>
      </w:r>
      <w:r>
        <w:rPr>
          <w:rFonts w:hint="eastAsia" w:ascii="黑体" w:hAnsi="宋体" w:eastAsia="黑体" w:cs="黑体"/>
          <w:sz w:val="24"/>
          <w:szCs w:val="24"/>
        </w:rPr>
        <w:t>发电机、发动机、起动机、继电器、百分表、游标卡尺、千分尺、万用表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</w:t>
      </w:r>
    </w:p>
    <w:p>
      <w:pPr>
        <w:pStyle w:val="5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黑体" w:hAnsi="宋体" w:eastAsia="黑体" w:cs="黑体"/>
          <w:color w:val="000000"/>
          <w:sz w:val="24"/>
          <w:szCs w:val="24"/>
        </w:rPr>
        <w:t>四、简答题（第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81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题～第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90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题，每空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3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分，满分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30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分）</w:t>
      </w:r>
    </w:p>
    <w:p>
      <w:pPr>
        <w:pStyle w:val="5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写出汽车缸体测量的步骤（其中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个步骤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81-85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）并计算下表中测量值的圆度、圆柱度（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86-90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</w:p>
    <w:p>
      <w:pPr>
        <w:pStyle w:val="5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81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>
      <w:pPr>
        <w:pStyle w:val="5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82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>
      <w:pPr>
        <w:pStyle w:val="5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83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>
      <w:pPr>
        <w:pStyle w:val="5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84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>
      <w:pPr>
        <w:pStyle w:val="5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85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tbl>
      <w:tblPr>
        <w:tblW w:w="852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162"/>
        <w:gridCol w:w="2188"/>
        <w:gridCol w:w="198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检测项目</w:t>
            </w:r>
          </w:p>
        </w:tc>
        <w:tc>
          <w:tcPr>
            <w:tcW w:w="1155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检测部位</w:t>
            </w:r>
          </w:p>
        </w:tc>
        <w:tc>
          <w:tcPr>
            <w:tcW w:w="41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检测数据（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）</w:t>
            </w:r>
          </w:p>
        </w:tc>
        <w:tc>
          <w:tcPr>
            <w:tcW w:w="1980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D1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D2</w:t>
            </w: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气缸体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上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 xml:space="preserve">78.530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 xml:space="preserve">78.520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86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 xml:space="preserve">78.510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 xml:space="preserve">78.500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87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下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 xml:space="preserve">78.510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 xml:space="preserve">78.480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88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23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气缸圆度误差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89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气缸圆柱度误差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：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A2948"/>
    <w:multiLevelType w:val="multilevel"/>
    <w:tmpl w:val="9BDA29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MTQ3NDJhY2JlOWE1NGJlOTUwMmMxMGY1ZjhlOTQifQ=="/>
  </w:docVars>
  <w:rsids>
    <w:rsidRoot w:val="495271FC"/>
    <w:rsid w:val="495271FC"/>
    <w:rsid w:val="59350668"/>
    <w:rsid w:val="5D074BB1"/>
    <w:rsid w:val="6FE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2023-10-16T06:30:00Z</dcterms:created>
  <dc:creator>KK</dc:creator>
  <cp:lastModifiedBy>KK</cp:lastModifiedBy>
  <dcterms:modified xsi:type="dcterms:W3CDTF">2023-10-16T08:06:54Z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4DBBAA2B033B4E68930D51E16389BD28_13</vt:lpwstr>
  </property>
</Properties>
</file>